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760" w:type="pct"/>
        <w:tblInd w:w="0" w:type="dxa"/>
        <w:shd w:val="clear" w:color="auto" w:fill="auto"/>
        <w:tblLayout w:type="fixed"/>
        <w:tblCellMar>
          <w:top w:w="0" w:type="dxa"/>
          <w:left w:w="0" w:type="dxa"/>
          <w:bottom w:w="0" w:type="dxa"/>
          <w:right w:w="0" w:type="dxa"/>
        </w:tblCellMar>
      </w:tblPr>
      <w:tblGrid>
        <w:gridCol w:w="519"/>
        <w:gridCol w:w="1156"/>
        <w:gridCol w:w="778"/>
        <w:gridCol w:w="3000"/>
        <w:gridCol w:w="603"/>
        <w:gridCol w:w="2542"/>
        <w:gridCol w:w="1242"/>
        <w:gridCol w:w="848"/>
        <w:gridCol w:w="709"/>
        <w:gridCol w:w="670"/>
        <w:gridCol w:w="523"/>
        <w:gridCol w:w="670"/>
        <w:gridCol w:w="580"/>
        <w:gridCol w:w="602"/>
      </w:tblGrid>
      <w:tr>
        <w:tblPrEx>
          <w:tblCellMar>
            <w:top w:w="0" w:type="dxa"/>
            <w:left w:w="0" w:type="dxa"/>
            <w:bottom w:w="0" w:type="dxa"/>
            <w:right w:w="0" w:type="dxa"/>
          </w:tblCellMar>
        </w:tblPrEx>
        <w:trPr>
          <w:trHeight w:val="82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default" w:ascii="方正小标宋_GBK" w:hAnsi="方正小标宋_GBK" w:eastAsia="方正小标宋_GBK" w:cs="方正小标宋_GBK"/>
                <w:i w:val="0"/>
                <w:color w:val="000000"/>
                <w:kern w:val="0"/>
                <w:sz w:val="36"/>
                <w:szCs w:val="36"/>
                <w:u w:val="none"/>
                <w:lang w:val="en-US" w:eastAsia="zh-CN" w:bidi="ar"/>
              </w:rPr>
              <w:t>平果市公共资源交易领域基层政务公开事项标准目录</w:t>
            </w:r>
          </w:p>
        </w:tc>
      </w:tr>
      <w:tr>
        <w:tblPrEx>
          <w:shd w:val="clear" w:color="auto" w:fill="auto"/>
          <w:tblCellMar>
            <w:top w:w="0" w:type="dxa"/>
            <w:left w:w="0" w:type="dxa"/>
            <w:bottom w:w="0" w:type="dxa"/>
            <w:right w:w="0" w:type="dxa"/>
          </w:tblCellMar>
        </w:tblPrEx>
        <w:trPr>
          <w:trHeight w:val="762" w:hRule="atLeast"/>
        </w:trPr>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序号</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公开事项</w:t>
            </w:r>
          </w:p>
        </w:tc>
        <w:tc>
          <w:tcPr>
            <w:tcW w:w="10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公开内容（要素）</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公开主体</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公开依据</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公开时限</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公开渠道和载体</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公开对象</w:t>
            </w:r>
          </w:p>
        </w:tc>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公开方式</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62" w:hRule="atLeast"/>
        </w:trPr>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40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一级事项</w:t>
            </w:r>
          </w:p>
        </w:tc>
        <w:tc>
          <w:tcPr>
            <w:tcW w:w="26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二级事项</w:t>
            </w:r>
          </w:p>
        </w:tc>
        <w:tc>
          <w:tcPr>
            <w:tcW w:w="10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4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全社会</w:t>
            </w:r>
          </w:p>
        </w:tc>
        <w:tc>
          <w:tcPr>
            <w:tcW w:w="23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特定群众</w:t>
            </w:r>
          </w:p>
        </w:tc>
        <w:tc>
          <w:tcPr>
            <w:tcW w:w="18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主动</w:t>
            </w:r>
          </w:p>
        </w:tc>
        <w:tc>
          <w:tcPr>
            <w:tcW w:w="2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依申请</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公开</w:t>
            </w:r>
          </w:p>
        </w:tc>
        <w:tc>
          <w:tcPr>
            <w:tcW w:w="20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县级</w:t>
            </w:r>
          </w:p>
        </w:tc>
        <w:tc>
          <w:tcPr>
            <w:tcW w:w="20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乡、村级</w:t>
            </w:r>
          </w:p>
        </w:tc>
      </w:tr>
      <w:tr>
        <w:tblPrEx>
          <w:tblCellMar>
            <w:top w:w="0" w:type="dxa"/>
            <w:left w:w="0" w:type="dxa"/>
            <w:bottom w:w="0" w:type="dxa"/>
            <w:right w:w="0" w:type="dxa"/>
          </w:tblCellMar>
        </w:tblPrEx>
        <w:trPr>
          <w:trHeight w:val="1999"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40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国有土地使用权出让信息</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土地出让计划</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明确国有建设用地供应</w:t>
            </w:r>
            <w:bookmarkStart w:id="0" w:name="_GoBack"/>
            <w:bookmarkEnd w:id="0"/>
            <w:r>
              <w:rPr>
                <w:rFonts w:hint="eastAsia" w:ascii="仿宋" w:hAnsi="仿宋" w:eastAsia="仿宋" w:cs="仿宋"/>
                <w:i w:val="0"/>
                <w:color w:val="000000"/>
                <w:kern w:val="0"/>
                <w:sz w:val="18"/>
                <w:szCs w:val="18"/>
                <w:u w:val="none"/>
                <w:lang w:val="en-US" w:eastAsia="zh-CN" w:bidi="ar"/>
              </w:rPr>
              <w:t>指导思想和原则；提出国有建设用地供应正常导向；确定国有建设工地供应总量、结构、布局、时序和方式；落实计划供应的宗地；实施计划的保障措施。</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平果市自然资源局</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《国务院办公厅关于推进公共资源配置领域政府信息公开的意见》、《招标拍卖挂牌出让国有建设用地使用权规定》、《国有建设用地供应计划编制规范》（实行）</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每年3月31日前，公布年底国有建设用地供应计划</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政府网站            中国土地市场网</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220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40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国有土地使用权出让信息</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招标拍卖挂牌出出让公告</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出让人的名称和地址；出让宗地的面积、界址、空间范围、现状、使用年限、用途；投标人、竞买人的资格要求以及申请取得投标、竞买资格的办法；招标拍卖挂牌时间、地点、投标挂牌期限、投标和竞价方式等；确定中标人、竞得人的标准和方法；其他需要公告的事项。</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出让人</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《国务院办公厅关于推进公共资源配置领域政府信息公开的意见》、《招标拍卖挂牌出让国有建设用地使用权规定》</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至少在投标、拍卖或者挂牌开始日前20日。挂牌时间不得少于10日</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政府网站                  中国土地市场网      </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1399"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40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国有土地使用权出让信息</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公告调整</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公开国有建设用地使用权出让公告、项目概况、澄清或者修改事项、联系方式。</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出让人</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《招标拍卖挂牌出让国有土地使用权规范》</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按原公告发布渠道及时发布补充公告，涉及土地使用条件变更等影响土地价格的重大变动，补充公告发布时间距招牌话活动开始时间少于20日的，招牌挂活动相应顺延</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政府网站                  中国土地市场网      右江日报</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1399"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40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国有土地使用权出让信息</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招标拍卖挂牌出让结果（成交公示）</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土地位置、面积、用途、开发程度、土地级别、容积率、出让年限、供地方式、受让人、成交价格和成交时间等</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出让人</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《国务院办公厅关于推进公共资源配置领域政府信息公开的意见》、《招标拍卖挂牌出让国有建设用地使用权规定》、《招标拍卖挂牌出让国有土地使用权规范》</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招标拍卖挂牌活动结束后的10个工作日内</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政府网站            中国土地市场网</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1399"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40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国有土地使用权出让信息</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供应结果</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国有建设用地使用权年度供应结果</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平果市自然资源局</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《国务院办公厅关于推进公共资源配置领域政府信息公开的意见》</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及时公开</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政府网站            中国土地市场网</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2940" w:hRule="atLeast"/>
        </w:trPr>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矿业权出让信息</w:t>
            </w: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招标拍卖挂牌出出让公告</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出让人和矿业权交易平台的名称、场所；出让矿业权的简要情况，包括项目名称、矿种、地理位置、拐点范围坐标、面积、资源储量、开采标高、资源开发利用情况、拟出让年限等；投标人或者竞买人的资质条件；出让方式及交易时间、地点；获取招拍挂文件的途径和申请登记的起止时间及方式；明确中标人、竞买人的标准和方法；对交易矿业权异议的处理方式；需要公告的其他内容</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平果市自然资源局</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《国务院办公厅关于推进公共资源配置领域政府信息公开的意见》、《国土资源部关于印发矿业权交易规则的通知》、《自然资源部关于调整&lt;矿业权交易规则&gt;有关规定的通知》</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在投标截止日，公开拍卖日或者花牌起始日20个工作日前发布。挂牌时间不得少于10个工作日</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政府网站              自然资源部门户网站              百色市公共资源交易中心网站</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1880" w:hRule="atLeast"/>
        </w:trPr>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招标拍卖挂牌成交结果公示</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标人或者竞买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平果市自然资源局</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《国务院办公厅关于推进公共资源配置领域政府信息公开的意见》、《国土资源部关于印发矿业权交易规则的通知》</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发出中标通知书或者签订成交确认书5个工作日内进行信息公示。公示期不少于10个工作日</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政府网站              自然资源部门户网站              百色市公共资源交易中心网站</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1399" w:hRule="atLeast"/>
        </w:trPr>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审批结果信息</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每个项目的审批结果信息</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平果市自然资源局</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《政府信息公开条例》、《国务院办公厅关于推进公共资源配置领域政府信息公开的意见》</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每年按月度月集中公告</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政府网站</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252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工程建设项目招标投标信息</w:t>
            </w:r>
          </w:p>
        </w:tc>
        <w:tc>
          <w:tcPr>
            <w:tcW w:w="26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资格预审公告</w:t>
            </w:r>
          </w:p>
        </w:tc>
        <w:tc>
          <w:tcPr>
            <w:tcW w:w="10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项目名称、内容、范围、规模、资金来源；投标资格能力要求，以及是否接受联合体投标；获取资格预审文件的时间、方式；递交资格预审文件的时间、方式；招标人及其招标代理机构的名称、地址、联系人及联系方式；采用电子招标投标方式的，潜在投标人访问电子招标投标交易平台的网址和方法；其他依法应当载明的内容</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招标人或者其委托的招标代理机构</w:t>
            </w:r>
          </w:p>
        </w:tc>
        <w:tc>
          <w:tcPr>
            <w:tcW w:w="88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《招标投标法》、《招标投标法实施条例》、《国务院办公厅关于推进公共资源配置领域政府信息公开的意见》、《招标公告和公示信息发布管理办法》</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及时公开</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招标投标公共服务平台 、公共资源交易平台、电子招标投标交易平台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254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招标公告</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招标项目名称、内容，范围、规模、资金来源;投标资格能力要求，以及是否接受联合体投标;获取招标文件的时间、方式;递交投标文件的截止时间、方式; 招标人及其招标代理机构的名称，地址，联系人及联系方式;采用电子招标投标方式的，潜在投标人访问电子招标投标交易平台的网址和方法;其他依法应当载明的内容</w:t>
            </w:r>
          </w:p>
        </w:tc>
        <w:tc>
          <w:tcPr>
            <w:tcW w:w="20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招标人或者其委托的招标代理机构</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《招标投标法》、《招标投标法实施条例》、《国务院办公厅关于推进公共资源配置领域政府信息公开的意见》、《招标公告和公示信息发布管理办法》《电子招标投标办法》</w:t>
            </w:r>
          </w:p>
        </w:tc>
        <w:tc>
          <w:tcPr>
            <w:tcW w:w="42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及时公开</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招标投标公共服务平台 、公共资源交易平台、电子招标投标交易平台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1960"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中标候选人公示</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中标候选人排序、名称、投标报价、质量、工期(交货期)，以及评标情况;中标候选人按照招标文件要求承诺的项目负责人姓名及其相关证书名称和编号; 中标候选人响应招标文件要求的资格能力条件;提出异议的渠道和方式; 招标文件规定公示的其他内容</w:t>
            </w:r>
          </w:p>
        </w:tc>
        <w:tc>
          <w:tcPr>
            <w:tcW w:w="20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招标人或者其委托的招标代理机构</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《招标投标法》、《招标投标法实施条例》、《国务院办公厅关于推进公共资源配置领域政府信息公开的意见》、《招标公告和公示信息发布管理办法》《电子招标投标办法》</w:t>
            </w:r>
          </w:p>
        </w:tc>
        <w:tc>
          <w:tcPr>
            <w:tcW w:w="42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依法必须进行招标的项目，招标人应当自收到评标报告之日起3日内公示中标候选人，公示期不得少于3 日</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招标投标公共服务平台 、公共资源交易平台、电子招标投标交易平台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2795"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中标结果</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招标项目名称，中标人名称、中标价、工期、项目负责人、中标内容</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招标人或者其委托的招标代理机构</w:t>
            </w:r>
          </w:p>
        </w:tc>
        <w:tc>
          <w:tcPr>
            <w:tcW w:w="880"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《国务院办公厅关于推进公共资源配置领城政府信息公开的意见》《招标公告和公示信息发布管理办法》，《电子招标投标办法》</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及时公开</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招标投标公共服务平台 、公共资源交易平台、电子招标投标交易平台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1399"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资格预审文件、招标文件澄清或修改</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项目名称;标段名称;澄清或修改事项; 招标人及其招标代理机构的名称、地址、联系人及联系方式。</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招标人或者其委托的招标代理机构</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《招标投标法》、《招标投标法实施条例》《电子招标投标办法》</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依法必须进行招标的项目，澄清或者修改的内容可能影响资格预审申请文件或者投标文件编制的，应当在提交资格预审申请文件截止时问至少3日前，或者投标截止时问至少15日前</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招标投标公共服务平台 、公共资源交易平台、电子招标投标交易平台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1399"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招标公告和公示信息澄清、修改</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项目名称;标段名称;澄清或修改事项; 招标人及其招标代理机构的名称、地址、 联系人及联系方式。</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招标人或者其委托的招标代理机构</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《招标公告和公示信息发布管理办法》</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及时公开</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招标投标公共服务平台 、公共资源交易平台、电子招标投标交易平台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1399" w:hRule="atLeast"/>
        </w:trPr>
        <w:tc>
          <w:tcPr>
            <w:tcW w:w="1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6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暂停、终止招标</w:t>
            </w: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招标人名称，招标项目名称、招标项目 编号、本项目首次公告日期、招标暂停 或终止原因，联系方式，其他事项。</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招标人或者其委托的招标代理机构</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《招标公告和公示信息发布管理办法》)</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及时公开</w:t>
            </w:r>
          </w:p>
        </w:tc>
        <w:tc>
          <w:tcPr>
            <w:tcW w:w="2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招标投标公共服务平台 、公共资源交易平台、电子招标投标交易平台</w:t>
            </w:r>
          </w:p>
        </w:tc>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bl>
    <w:p>
      <w:pPr>
        <w:rPr>
          <w:rFonts w:hint="eastAsia" w:ascii="仿宋" w:hAnsi="仿宋" w:eastAsia="仿宋" w:cs="仿宋"/>
          <w:sz w:val="18"/>
          <w:szCs w:val="18"/>
        </w:rPr>
      </w:pPr>
    </w:p>
    <w:sectPr>
      <w:pgSz w:w="16838" w:h="11906" w:orient="landscape"/>
      <w:pgMar w:top="1800" w:right="850" w:bottom="180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32F53"/>
    <w:rsid w:val="197A00D4"/>
    <w:rsid w:val="216F0EFC"/>
    <w:rsid w:val="2A7272C9"/>
    <w:rsid w:val="7E976432"/>
    <w:rsid w:val="9BF5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gxxc</cp:lastModifiedBy>
  <dcterms:modified xsi:type="dcterms:W3CDTF">2023-05-24T13:14:16Z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