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lang w:eastAsia="zh-CN"/>
        </w:rPr>
        <w:t>田阳区</w:t>
      </w:r>
      <w:r>
        <w:rPr>
          <w:rFonts w:hint="eastAsia" w:ascii="方正小标宋_GBK" w:hAnsi="方正小标宋_GBK" w:eastAsia="方正小标宋_GBK" w:cs="方正小标宋_GBK"/>
          <w:b w:val="0"/>
          <w:bCs/>
          <w:sz w:val="30"/>
          <w:szCs w:val="30"/>
        </w:rPr>
        <w:t>公共资源交易领域基层政务公开标准目录</w:t>
      </w:r>
    </w:p>
    <w:tbl>
      <w:tblPr>
        <w:tblStyle w:val="2"/>
        <w:tblW w:w="16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733"/>
        <w:gridCol w:w="867"/>
        <w:gridCol w:w="3701"/>
        <w:gridCol w:w="2000"/>
        <w:gridCol w:w="1904"/>
        <w:gridCol w:w="1009"/>
        <w:gridCol w:w="2223"/>
        <w:gridCol w:w="659"/>
        <w:gridCol w:w="659"/>
        <w:gridCol w:w="546"/>
        <w:gridCol w:w="545"/>
        <w:gridCol w:w="614"/>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63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序号</w:t>
            </w:r>
          </w:p>
        </w:tc>
        <w:tc>
          <w:tcPr>
            <w:tcW w:w="16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公开事项</w:t>
            </w:r>
          </w:p>
        </w:tc>
        <w:tc>
          <w:tcPr>
            <w:tcW w:w="370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公开内容（要素）</w:t>
            </w:r>
          </w:p>
        </w:tc>
        <w:tc>
          <w:tcPr>
            <w:tcW w:w="20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公开依据</w:t>
            </w:r>
          </w:p>
        </w:tc>
        <w:tc>
          <w:tcPr>
            <w:tcW w:w="190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公开时限</w:t>
            </w:r>
          </w:p>
        </w:tc>
        <w:tc>
          <w:tcPr>
            <w:tcW w:w="100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公开主体</w:t>
            </w:r>
          </w:p>
        </w:tc>
        <w:tc>
          <w:tcPr>
            <w:tcW w:w="222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公开渠道和载体</w:t>
            </w:r>
          </w:p>
        </w:tc>
        <w:tc>
          <w:tcPr>
            <w:tcW w:w="131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公开对象</w:t>
            </w:r>
          </w:p>
        </w:tc>
        <w:tc>
          <w:tcPr>
            <w:tcW w:w="109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公开方式</w:t>
            </w:r>
          </w:p>
        </w:tc>
        <w:tc>
          <w:tcPr>
            <w:tcW w:w="115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kern w:val="0"/>
                <w:sz w:val="22"/>
                <w:szCs w:val="20"/>
              </w:rPr>
            </w:pPr>
            <w:r>
              <w:rPr>
                <w:rFonts w:hint="eastAsia" w:ascii="黑体" w:hAnsi="黑体" w:eastAsia="黑体" w:cs="黑体"/>
                <w:b w:val="0"/>
                <w:bCs/>
                <w:color w:val="000000"/>
                <w:kern w:val="0"/>
                <w:sz w:val="22"/>
                <w:szCs w:val="20"/>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3" w:type="dxa"/>
            <w:vMerge w:val="continue"/>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黑体" w:hAnsi="黑体" w:eastAsia="黑体" w:cs="黑体"/>
                <w:b w:val="0"/>
                <w:bCs/>
                <w:color w:val="000000"/>
                <w:sz w:val="22"/>
                <w:szCs w:val="20"/>
              </w:rPr>
            </w:pPr>
          </w:p>
        </w:tc>
        <w:tc>
          <w:tcPr>
            <w:tcW w:w="733" w:type="dxa"/>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一级事项</w:t>
            </w:r>
          </w:p>
        </w:tc>
        <w:tc>
          <w:tcPr>
            <w:tcW w:w="867" w:type="dxa"/>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二级事项</w:t>
            </w:r>
          </w:p>
        </w:tc>
        <w:tc>
          <w:tcPr>
            <w:tcW w:w="3701" w:type="dxa"/>
            <w:vMerge w:val="continue"/>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黑体" w:hAnsi="黑体" w:eastAsia="黑体" w:cs="黑体"/>
                <w:b w:val="0"/>
                <w:bCs/>
                <w:color w:val="000000"/>
                <w:sz w:val="22"/>
                <w:szCs w:val="20"/>
              </w:rPr>
            </w:pPr>
          </w:p>
        </w:tc>
        <w:tc>
          <w:tcPr>
            <w:tcW w:w="20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黑体" w:hAnsi="黑体" w:eastAsia="黑体" w:cs="黑体"/>
                <w:b w:val="0"/>
                <w:bCs/>
                <w:color w:val="000000"/>
                <w:sz w:val="22"/>
                <w:szCs w:val="20"/>
              </w:rPr>
            </w:pPr>
          </w:p>
        </w:tc>
        <w:tc>
          <w:tcPr>
            <w:tcW w:w="190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黑体" w:hAnsi="黑体" w:eastAsia="黑体" w:cs="黑体"/>
                <w:b w:val="0"/>
                <w:bCs/>
                <w:color w:val="000000"/>
                <w:sz w:val="22"/>
                <w:szCs w:val="20"/>
              </w:rPr>
            </w:pPr>
          </w:p>
        </w:tc>
        <w:tc>
          <w:tcPr>
            <w:tcW w:w="100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黑体" w:hAnsi="黑体" w:eastAsia="黑体" w:cs="黑体"/>
                <w:b w:val="0"/>
                <w:bCs/>
                <w:color w:val="000000"/>
                <w:sz w:val="22"/>
                <w:szCs w:val="20"/>
              </w:rPr>
            </w:pPr>
          </w:p>
        </w:tc>
        <w:tc>
          <w:tcPr>
            <w:tcW w:w="222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黑体" w:hAnsi="黑体" w:eastAsia="黑体" w:cs="黑体"/>
                <w:b w:val="0"/>
                <w:bCs/>
                <w:color w:val="000000"/>
                <w:sz w:val="22"/>
                <w:szCs w:val="20"/>
              </w:rPr>
            </w:pPr>
          </w:p>
        </w:tc>
        <w:tc>
          <w:tcPr>
            <w:tcW w:w="65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全社会</w:t>
            </w:r>
          </w:p>
        </w:tc>
        <w:tc>
          <w:tcPr>
            <w:tcW w:w="65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特定群众</w:t>
            </w:r>
          </w:p>
        </w:tc>
        <w:tc>
          <w:tcPr>
            <w:tcW w:w="54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主动</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sz w:val="22"/>
                <w:szCs w:val="20"/>
              </w:rPr>
            </w:pPr>
            <w:r>
              <w:rPr>
                <w:rFonts w:hint="eastAsia" w:ascii="黑体" w:hAnsi="黑体" w:eastAsia="黑体" w:cs="黑体"/>
                <w:b w:val="0"/>
                <w:bCs/>
                <w:color w:val="000000"/>
                <w:kern w:val="0"/>
                <w:sz w:val="22"/>
                <w:szCs w:val="20"/>
              </w:rPr>
              <w:t>依申请公开</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kern w:val="0"/>
                <w:sz w:val="22"/>
                <w:szCs w:val="20"/>
              </w:rPr>
            </w:pPr>
            <w:r>
              <w:rPr>
                <w:rFonts w:hint="eastAsia" w:ascii="黑体" w:hAnsi="黑体" w:eastAsia="黑体" w:cs="黑体"/>
                <w:b w:val="0"/>
                <w:bCs/>
                <w:color w:val="000000"/>
                <w:kern w:val="0"/>
                <w:sz w:val="22"/>
                <w:szCs w:val="20"/>
              </w:rPr>
              <w:t>区</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黑体" w:eastAsia="黑体" w:cs="黑体"/>
                <w:b w:val="0"/>
                <w:bCs/>
                <w:color w:val="000000"/>
                <w:kern w:val="0"/>
                <w:sz w:val="22"/>
                <w:szCs w:val="20"/>
              </w:rPr>
            </w:pPr>
            <w:r>
              <w:rPr>
                <w:rFonts w:hint="eastAsia" w:ascii="黑体" w:hAnsi="黑体" w:eastAsia="黑体" w:cs="黑体"/>
                <w:b w:val="0"/>
                <w:bCs/>
                <w:color w:val="000000"/>
                <w:kern w:val="0"/>
                <w:sz w:val="22"/>
                <w:szCs w:val="20"/>
              </w:rPr>
              <w:t>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1</w:t>
            </w:r>
          </w:p>
        </w:tc>
        <w:tc>
          <w:tcPr>
            <w:tcW w:w="733"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招标公告</w:t>
            </w:r>
          </w:p>
        </w:tc>
        <w:tc>
          <w:tcPr>
            <w:tcW w:w="370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00"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《国务院办公厅关于推进公共资源配置领域政府信息公开的意见》、《政府采购货物和服务招标投标管理办法》、《财政部关于做好政府采购信息公开工作的通知》</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及时公开，公告期限为5个工</w:t>
            </w:r>
            <w:bookmarkStart w:id="0" w:name="_GoBack"/>
            <w:bookmarkEnd w:id="0"/>
            <w:r>
              <w:rPr>
                <w:rFonts w:hint="eastAsia" w:ascii="方正仿宋_GB2312" w:hAnsi="方正仿宋_GB2312" w:eastAsia="方正仿宋_GB2312" w:cs="方正仿宋_GB2312"/>
                <w:sz w:val="18"/>
                <w:szCs w:val="18"/>
              </w:rPr>
              <w:t>作日</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33" w:type="dxa"/>
            <w:tcBorders>
              <w:top w:val="single" w:color="auto" w:sz="4" w:space="0"/>
              <w:left w:val="single" w:color="000000"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2</w:t>
            </w:r>
          </w:p>
        </w:tc>
        <w:tc>
          <w:tcPr>
            <w:tcW w:w="733"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资格预审公告</w:t>
            </w:r>
          </w:p>
        </w:tc>
        <w:tc>
          <w:tcPr>
            <w:tcW w:w="370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00"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《国务院办公厅关于推进公共资源配置领域政府信息公开的意见》、《政府采购货物和服务招标投标管理办法》、《财政部关于做好政府采购信息公开工作的通知》</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及时公开，公告期限为5个工作日</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3</w:t>
            </w:r>
          </w:p>
        </w:tc>
        <w:tc>
          <w:tcPr>
            <w:tcW w:w="733" w:type="dxa"/>
            <w:vMerge w:val="restart"/>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竞争性谈判公告、竞争性磋商公告 和询价 公告</w:t>
            </w:r>
          </w:p>
        </w:tc>
        <w:tc>
          <w:tcPr>
            <w:tcW w:w="370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00"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及时公开，公告期限为3个工作日</w:t>
            </w:r>
          </w:p>
        </w:tc>
        <w:tc>
          <w:tcPr>
            <w:tcW w:w="10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p>
        </w:tc>
        <w:tc>
          <w:tcPr>
            <w:tcW w:w="65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4</w:t>
            </w:r>
          </w:p>
        </w:tc>
        <w:tc>
          <w:tcPr>
            <w:tcW w:w="733" w:type="dxa"/>
            <w:vMerge w:val="continue"/>
            <w:tcBorders>
              <w:top w:val="nil"/>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 xml:space="preserve">采购项目预算金额 </w:t>
            </w:r>
          </w:p>
        </w:tc>
        <w:tc>
          <w:tcPr>
            <w:tcW w:w="370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 xml:space="preserve">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 </w:t>
            </w:r>
          </w:p>
        </w:tc>
        <w:tc>
          <w:tcPr>
            <w:tcW w:w="2000"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随采购公告、采购文件公开</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5" w:hRule="atLeast"/>
        </w:trPr>
        <w:tc>
          <w:tcPr>
            <w:tcW w:w="633" w:type="dxa"/>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5</w:t>
            </w:r>
          </w:p>
        </w:tc>
        <w:tc>
          <w:tcPr>
            <w:tcW w:w="733" w:type="dxa"/>
            <w:vMerge w:val="restart"/>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采购文件</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招标文件、竞争性谈判文件、竞争性磋商文件和询价通知书。</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随中标、成效结果同时公告。中标、成效结果公告前采购文件已公告的，不再重复公告</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6</w:t>
            </w:r>
          </w:p>
        </w:tc>
        <w:tc>
          <w:tcPr>
            <w:tcW w:w="733" w:type="dxa"/>
            <w:vMerge w:val="continue"/>
            <w:tcBorders>
              <w:top w:val="nil"/>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采购信息更正公告</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 xml:space="preserve"> 采购人和采购代理机构名称、地址、联系方式；原公告的采购项目名称及首次公告日期；更正事项、内容及日期；采购项目联系人和电话。 </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投标截止时间至少1 5日前、提交资格预审申请文件截止时间至少3日前，或者提交首次响应文件截止之日3个工作日前</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7</w:t>
            </w:r>
          </w:p>
        </w:tc>
        <w:tc>
          <w:tcPr>
            <w:tcW w:w="733" w:type="dxa"/>
            <w:vMerge w:val="restart"/>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单一来源公示</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采购人、采购项目名称；拟采购的货物 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《国务院办公厅关于推进公共资源配置领域政府信息公开的意见》、《政府采购货物和服务招标投标管理办法》、《财政部关于做好政府采购信息公开工作的通知》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及时公开，公告期限不得少于5个工作日</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5"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8</w:t>
            </w:r>
          </w:p>
        </w:tc>
        <w:tc>
          <w:tcPr>
            <w:tcW w:w="733" w:type="dxa"/>
            <w:vMerge w:val="continue"/>
            <w:tcBorders>
              <w:top w:val="nil"/>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协议决货和定点采购的具体成交记录</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采购人和成交供应商的名称、成交金额以及成交标的的名称、规格型号、数量、单价等。电子卖场、电子商城、网上超市等的具体成交记录，也应当予以公开。</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《关于进一步做好政府采购信息公开工作有关事项的通知》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及时公开</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集中采购机构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8"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9</w:t>
            </w:r>
          </w:p>
        </w:tc>
        <w:tc>
          <w:tcPr>
            <w:tcW w:w="733" w:type="dxa"/>
            <w:vMerge w:val="restart"/>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中标、成交结果</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自中标、成交供应商确定之日起2个工作日内公告，公告期限为1个工作日</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10</w:t>
            </w:r>
          </w:p>
        </w:tc>
        <w:tc>
          <w:tcPr>
            <w:tcW w:w="733" w:type="dxa"/>
            <w:vMerge w:val="continue"/>
            <w:tcBorders>
              <w:top w:val="nil"/>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采购合同</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采购人和采购代理机构名称、地址、联系方式；采购项目名称、编号，合同编号；供应商名称；合同内容。</w:t>
            </w:r>
          </w:p>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政府采购合同中涉及国家秘密、商业秘 密的部分可以不公告，但其他内容应当公告。合同标的名称、规格型号、单价及合同金额等内容不得作为商业秘密。合同中涉及个人噫私的姓名、联系方式等内容，除征得权利人同意外，不得对外公告。批量集中采购项目应当公告框 架协议。 </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 xml:space="preserve">合同签订之日起2个工作日内 </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5"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11</w:t>
            </w:r>
          </w:p>
        </w:tc>
        <w:tc>
          <w:tcPr>
            <w:tcW w:w="733" w:type="dxa"/>
            <w:vMerge w:val="restart"/>
            <w:tcBorders>
              <w:top w:val="single" w:color="auto" w:sz="4" w:space="0"/>
              <w:left w:val="single" w:color="auto" w:sz="4" w:space="0"/>
              <w:bottom w:val="nil"/>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终止公告</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采购人和采购代理机构名称、地址、联系方式；采购项目名称、采购编号，采购方式；采购项目终止原因；公告期限；采购项目联系人和电话。</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及时公开</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采购人或者其委托的采购代理机构</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5"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12</w:t>
            </w:r>
          </w:p>
        </w:tc>
        <w:tc>
          <w:tcPr>
            <w:tcW w:w="733" w:type="dxa"/>
            <w:vMerge w:val="continue"/>
            <w:tcBorders>
              <w:top w:val="nil"/>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公共服务项目采购需求</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采购对象需实现的功能或者目标，满足项目需要的所有技术、服务、安全等要求，采购对象的数量、交付或实施的时间和地点，采购对象的验收标准等。</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《财政部关于做好政府采购信息公开工作的通知》、《关于进一步加强政府采购需求和履约验收管理的指导意见》</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及时公开</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7"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13</w:t>
            </w:r>
          </w:p>
        </w:tc>
        <w:tc>
          <w:tcPr>
            <w:tcW w:w="7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公共服务项目采验收结果</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采购人和采购代理机构名称、地址、联系方式；采购项目名称、编号，合同编号；履约供应商名称；验收单位；验收结果；验收人员。</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验收结束之日起2个工作日内</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采购人</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5"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14</w:t>
            </w:r>
          </w:p>
        </w:tc>
        <w:tc>
          <w:tcPr>
            <w:tcW w:w="733"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政府采购信息</w:t>
            </w:r>
          </w:p>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投诉、监督检查等处理决定 公告 </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相关当事人名称及地址、投诉涉及采购项目名称及采购日期、投诉事项或监督检查主要事项、处理依据、处理结果、 执法机关名称、公告日期等。</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 xml:space="preserve">完成并履行有关报审程序后5个工作日内 </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sz w:val="18"/>
                <w:szCs w:val="18"/>
                <w:lang w:eastAsia="zh-CN"/>
              </w:rPr>
              <w:t>田阳区财政局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■公共资源交易平台</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15</w:t>
            </w:r>
          </w:p>
        </w:tc>
        <w:tc>
          <w:tcPr>
            <w:tcW w:w="733"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集中采购机构的考核结果公告 </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集中采购机构名称、考核内容、考核方法、考核结果、存在问题、考核单位等。</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《国务院办公厅关于推进公共资源配置领域政府信息公开的意见》、《财政部关于做好政府采购信息公开工作的通知》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完成并履行有关报审程序后5个工作日内</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sz w:val="18"/>
                <w:szCs w:val="18"/>
                <w:lang w:eastAsia="zh-CN"/>
              </w:rPr>
              <w:t>田阳区财政局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kern w:val="0"/>
                <w:sz w:val="18"/>
                <w:szCs w:val="18"/>
              </w:rPr>
              <w:t>■中国政府采购网及其地方分网</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sz w:val="18"/>
                <w:szCs w:val="18"/>
              </w:rPr>
              <w:t>省级（含计划单列市）财政部门指定的媒体</w:t>
            </w:r>
            <w:r>
              <w:rPr>
                <w:rFonts w:hint="eastAsia" w:ascii="方正仿宋_GB2312" w:hAnsi="方正仿宋_GB2312" w:eastAsia="方正仿宋_GB2312" w:cs="方正仿宋_GB2312"/>
                <w:color w:val="000000"/>
                <w:kern w:val="0"/>
                <w:sz w:val="18"/>
                <w:szCs w:val="18"/>
              </w:rPr>
              <w:br w:type="textWrapping"/>
            </w:r>
            <w:r>
              <w:rPr>
                <w:rFonts w:hint="eastAsia" w:ascii="方正仿宋_GB2312" w:hAnsi="方正仿宋_GB2312" w:eastAsia="方正仿宋_GB2312" w:cs="方正仿宋_GB2312"/>
                <w:sz w:val="18"/>
                <w:szCs w:val="18"/>
              </w:rPr>
              <w:t>■《中国财经报》（《中国政府采购报&gt;）</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■《中国政府采购杂志》</w:t>
            </w:r>
          </w:p>
          <w:p>
            <w:pPr>
              <w:keepNext w:val="0"/>
              <w:keepLines w:val="0"/>
              <w:widowControl/>
              <w:suppressLineNumbers w:val="0"/>
              <w:spacing w:before="0" w:beforeLines="0" w:beforeAutospacing="0" w:after="0" w:afterLines="0" w:afterAutospacing="0"/>
              <w:ind w:left="0" w:right="0"/>
              <w:jc w:val="left"/>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■公共资源交易平台■信用中国</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方正仿宋_GB2312" w:hAnsi="方正仿宋_GB2312" w:eastAsia="方正仿宋_GB2312" w:cs="方正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16</w:t>
            </w:r>
          </w:p>
        </w:tc>
        <w:tc>
          <w:tcPr>
            <w:tcW w:w="733" w:type="dxa"/>
            <w:vMerge w:val="restart"/>
            <w:tcBorders>
              <w:top w:val="single" w:color="auto" w:sz="4" w:space="0"/>
              <w:left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国有土地使用权出让信息</w:t>
            </w: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土地出让计划</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明确国有建设用地供应指导思想和原则；提出国有建设用地供应正常导向；确定国有建设工地供应总量、结构、布局、时序和方式；落实计划供应的宗地；实施计划的保障措施。</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《国务院办公厅关于推进公共资源配置领域政府信息公开的意见》、《招标拍卖挂牌出让国有建设用地使用权规定》、《国有建设用地供应计划编制规范》（实行）</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每年3月31日前，公布年底国有建设用地供应计划</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中国土地市场网</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17</w:t>
            </w:r>
          </w:p>
        </w:tc>
        <w:tc>
          <w:tcPr>
            <w:tcW w:w="733" w:type="dxa"/>
            <w:vMerge w:val="continue"/>
            <w:tcBorders>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招标拍卖挂牌出出让公告</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出让人的名称和地址；出让宗地的面积、界址、空间范围、现状、使用年限、用途；投标人、竞买人的资格要求以及申请取得投标、竞买资格的办法；招标拍卖挂牌时间、地点、投标挂牌期限、投标和竞价方式等；确定中标人、竞得人的标准和方法；其他需要公告的事项。</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《国务院办公厅关于推进公共资源配置领域政府信息公开的意见》、《招标拍卖挂牌出让国有建设用地使用权规定》</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至少在投标、拍卖或者挂牌开始日前20日。挂牌时间不得少于10日</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中国土地市场网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右江日报</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18</w:t>
            </w:r>
          </w:p>
        </w:tc>
        <w:tc>
          <w:tcPr>
            <w:tcW w:w="733" w:type="dxa"/>
            <w:vMerge w:val="restart"/>
            <w:tcBorders>
              <w:top w:val="single" w:color="auto" w:sz="4" w:space="0"/>
              <w:left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公告调整</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公开国有建设用地使用权出让公告、项目概况、澄清或者修改事项、联系方式。</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《招标拍卖挂牌出让国有土地使用权规范》</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按原公告发布渠道及时发布补充公告，涉及土地使用条件变更等影响土地价格的重大变动，补充公告发布时间距招牌话活动开始时间少于20日的，招牌挂活动相应顺延</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中国土地市场网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右江日报</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19</w:t>
            </w:r>
          </w:p>
        </w:tc>
        <w:tc>
          <w:tcPr>
            <w:tcW w:w="733" w:type="dxa"/>
            <w:vMerge w:val="continue"/>
            <w:tcBorders>
              <w:left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招标拍卖挂牌出让结果（成交公示）</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土地位置、面积、用途、开发程度、土地级别、容积率、出让年限、供地方式、受让人、成交价格和成交时间等</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《国务院办公厅关于推进公共资源配置领域政府信息公开的意见》、《招标拍卖挂牌出让国有建设用地使用权规定》、《招标拍卖挂牌出让国有土地使用权规范》</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招标拍卖挂牌活动结束后的10个工作日内</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中国土地市场网</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c>
          <w:tcPr>
            <w:tcW w:w="733" w:type="dxa"/>
            <w:vMerge w:val="continue"/>
            <w:tcBorders>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供应结果</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国有建设用地使用权年度供应结果</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《国务院办公厅关于推进公共资源配置领域政府信息公开的意见》</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及时公开</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中国土地市场网</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w:t>
            </w:r>
          </w:p>
        </w:tc>
        <w:tc>
          <w:tcPr>
            <w:tcW w:w="733" w:type="dxa"/>
            <w:vMerge w:val="restart"/>
            <w:tcBorders>
              <w:top w:val="single" w:color="auto" w:sz="4" w:space="0"/>
              <w:left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矿业权出让信息</w:t>
            </w: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招标拍卖挂牌出出让公告</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出让人和矿业权交易平台的名称、场所；出让矿业权的简要情况，包括项目名称、矿种、地理位置、拐点范围坐标、面积、资源储量、开采标高、资源开发利用情况、拟出让年限等；投标人或者竞买人的资质条件；出让方式及交易时间、地点；获取招拍挂文件的途径和申请登记的起止时间及方式；明确中标人、竞买人的标准和方法；对交易矿业权异议的处理方式；需要公告的其他内容</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《国务院办公厅关于推进公共资源配置领域政府信息公开的意见》、《国土资源部关于印发矿业权交易规则的通知》、《自然资源部关于调整&lt;矿业权交易规则&gt;有关规定的通知》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在投标截止日，公开拍卖日或者花牌起始日20个工作日前发布。挂牌时间不得少于10个工作日</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 xml:space="preserve"> 自然资源部门户网站              百色市公共资源交易中心网站</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21</w:t>
            </w:r>
          </w:p>
        </w:tc>
        <w:tc>
          <w:tcPr>
            <w:tcW w:w="733" w:type="dxa"/>
            <w:vMerge w:val="continue"/>
            <w:tcBorders>
              <w:left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招标拍卖挂牌成交结果公示</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中标人或者竞买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《国务院办公厅关于推进公共资源配置领域政府信息公开的意见》、《国土资源部关于印发矿业权交易规则的通知》</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发出中标通知书或者签订成交确认书5个工作日内进行信息公示。公示期不少于10个工作日</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政府网站              </w:t>
            </w:r>
          </w:p>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自然资源部门户网站              百色市公共资源交易中心网站</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63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22</w:t>
            </w:r>
          </w:p>
        </w:tc>
        <w:tc>
          <w:tcPr>
            <w:tcW w:w="733" w:type="dxa"/>
            <w:vMerge w:val="continue"/>
            <w:tcBorders>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color w:val="000000"/>
                <w:sz w:val="18"/>
                <w:szCs w:val="18"/>
              </w:rPr>
            </w:pPr>
          </w:p>
        </w:tc>
        <w:tc>
          <w:tcPr>
            <w:tcW w:w="86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审批结果信息</w:t>
            </w:r>
          </w:p>
        </w:tc>
        <w:tc>
          <w:tcPr>
            <w:tcW w:w="370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每个项目的审批结果信息</w:t>
            </w:r>
          </w:p>
        </w:tc>
        <w:tc>
          <w:tcPr>
            <w:tcW w:w="200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《政府信息公开条例》、《国务院办公厅关于推进公共资源配置领域政府信息公开的意见》</w:t>
            </w:r>
          </w:p>
        </w:tc>
        <w:tc>
          <w:tcPr>
            <w:tcW w:w="1904"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每年按月度月集中公告</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田阳区自然资源局</w:t>
            </w:r>
          </w:p>
        </w:tc>
        <w:tc>
          <w:tcPr>
            <w:tcW w:w="222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top"/>
          </w:tcPr>
          <w:p>
            <w:pPr>
              <w:keepNext w:val="0"/>
              <w:keepLines w:val="0"/>
              <w:widowControl w:val="0"/>
              <w:suppressLineNumbers w:val="0"/>
              <w:autoSpaceDE w:val="0"/>
              <w:autoSpaceDN w:val="0"/>
              <w:adjustRightInd w:val="0"/>
              <w:spacing w:before="0" w:beforeAutospacing="0" w:after="0" w:afterAutospacing="0"/>
              <w:ind w:left="0" w:leftChars="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政府网站</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65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54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18"/>
                <w:szCs w:val="18"/>
                <w:lang w:val="en-US" w:eastAsia="zh-CN"/>
              </w:rPr>
            </w:pPr>
          </w:p>
        </w:tc>
        <w:tc>
          <w:tcPr>
            <w:tcW w:w="61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2"/>
                <w:sz w:val="18"/>
                <w:szCs w:val="18"/>
                <w:lang w:val="en-US" w:eastAsia="zh-CN"/>
              </w:rPr>
            </w:pPr>
            <w:r>
              <w:rPr>
                <w:rFonts w:hint="eastAsia" w:ascii="仿宋_GB2312" w:hAnsi="仿宋_GB2312" w:eastAsia="仿宋_GB2312" w:cs="仿宋_GB2312"/>
                <w:color w:val="000000"/>
                <w:kern w:val="0"/>
                <w:sz w:val="18"/>
                <w:szCs w:val="18"/>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sz w:val="18"/>
                <w:szCs w:val="18"/>
              </w:rPr>
            </w:pPr>
          </w:p>
        </w:tc>
      </w:tr>
    </w:tbl>
    <w:p>
      <w:pPr>
        <w:spacing w:beforeLines="0" w:afterLines="0"/>
        <w:rPr>
          <w:rFonts w:hint="eastAsia" w:ascii="方正仿宋_GB2312" w:hAnsi="方正仿宋_GB2312" w:eastAsia="方正仿宋_GB2312" w:cs="方正仿宋_GB2312"/>
          <w:sz w:val="18"/>
          <w:szCs w:val="18"/>
        </w:rPr>
      </w:pPr>
    </w:p>
    <w:p>
      <w:pPr>
        <w:spacing w:beforeLines="0" w:afterLines="0"/>
        <w:rPr>
          <w:rFonts w:hint="eastAsia" w:ascii="方正仿宋_GB2312" w:hAnsi="方正仿宋_GB2312" w:eastAsia="方正仿宋_GB2312" w:cs="方正仿宋_GB2312"/>
          <w:sz w:val="18"/>
          <w:szCs w:val="18"/>
        </w:rPr>
      </w:pPr>
    </w:p>
    <w:p>
      <w:pPr>
        <w:spacing w:beforeLines="0" w:afterLines="0"/>
        <w:rPr>
          <w:rFonts w:hint="eastAsia" w:ascii="方正仿宋_GB2312" w:hAnsi="方正仿宋_GB2312" w:eastAsia="方正仿宋_GB2312" w:cs="方正仿宋_GB2312"/>
          <w:sz w:val="18"/>
          <w:szCs w:val="18"/>
        </w:rPr>
      </w:pPr>
    </w:p>
    <w:p>
      <w:pPr>
        <w:spacing w:beforeLines="0" w:afterLines="0"/>
        <w:rPr>
          <w:rFonts w:hint="eastAsia" w:ascii="方正仿宋_GB2312" w:hAnsi="方正仿宋_GB2312" w:eastAsia="方正仿宋_GB2312" w:cs="方正仿宋_GB2312"/>
          <w:sz w:val="18"/>
          <w:szCs w:val="18"/>
        </w:rPr>
      </w:pPr>
    </w:p>
    <w:p>
      <w:pPr>
        <w:spacing w:beforeLines="0" w:afterLines="0"/>
        <w:rPr>
          <w:rFonts w:hint="eastAsia" w:ascii="方正仿宋_GB2312" w:hAnsi="方正仿宋_GB2312" w:eastAsia="方正仿宋_GB2312" w:cs="方正仿宋_GB2312"/>
          <w:sz w:val="18"/>
          <w:szCs w:val="18"/>
        </w:rPr>
      </w:pPr>
    </w:p>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E5280"/>
    <w:rsid w:val="149201F9"/>
    <w:rsid w:val="3342035C"/>
    <w:rsid w:val="39314E43"/>
    <w:rsid w:val="44AA590D"/>
    <w:rsid w:val="497E5280"/>
    <w:rsid w:val="55B65BAC"/>
    <w:rsid w:val="58316EA0"/>
    <w:rsid w:val="F8BFD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2020-11-16T08:59:00Z</dcterms:created>
  <dc:creator>田阳老黄</dc:creator>
  <cp:lastModifiedBy>gxxc</cp:lastModifiedBy>
  <dcterms:modified xsi:type="dcterms:W3CDTF">2023-05-24T13:15:12Z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