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方正小标宋_GBK" w:hAnsi="微软雅黑" w:eastAsia="方正小标宋_GBK" w:cs="宋体"/>
          <w:b/>
          <w:bCs/>
          <w:kern w:val="36"/>
          <w:sz w:val="44"/>
          <w:szCs w:val="44"/>
        </w:rPr>
      </w:pPr>
      <w:bookmarkStart w:id="0" w:name="_GoBack"/>
      <w:bookmarkEnd w:id="0"/>
      <w:r>
        <w:rPr>
          <w:rFonts w:hint="eastAsia" w:ascii="方正小标宋_GBK" w:hAnsi="微软雅黑" w:eastAsia="方正小标宋_GBK" w:cs="宋体"/>
          <w:b/>
          <w:bCs/>
          <w:kern w:val="36"/>
          <w:sz w:val="44"/>
          <w:szCs w:val="44"/>
        </w:rPr>
        <w:t>岑溪市公共资源交易领域基层政务公开标准目录</w:t>
      </w:r>
    </w:p>
    <w:tbl>
      <w:tblPr>
        <w:tblStyle w:val="6"/>
        <w:tblW w:w="15337"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75" w:type="dxa"/>
          <w:left w:w="150" w:type="dxa"/>
          <w:bottom w:w="75" w:type="dxa"/>
          <w:right w:w="150" w:type="dxa"/>
        </w:tblCellMar>
      </w:tblPr>
      <w:tblGrid>
        <w:gridCol w:w="645"/>
        <w:gridCol w:w="709"/>
        <w:gridCol w:w="756"/>
        <w:gridCol w:w="1937"/>
        <w:gridCol w:w="1276"/>
        <w:gridCol w:w="2191"/>
        <w:gridCol w:w="1663"/>
        <w:gridCol w:w="1888"/>
        <w:gridCol w:w="884"/>
        <w:gridCol w:w="719"/>
        <w:gridCol w:w="480"/>
        <w:gridCol w:w="884"/>
        <w:gridCol w:w="555"/>
        <w:gridCol w:w="75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blHeader/>
          <w:jc w:val="center"/>
        </w:trPr>
        <w:tc>
          <w:tcPr>
            <w:tcW w:w="645" w:type="dxa"/>
            <w:vMerge w:val="restart"/>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序号</w:t>
            </w:r>
          </w:p>
        </w:tc>
        <w:tc>
          <w:tcPr>
            <w:tcW w:w="1465" w:type="dxa"/>
            <w:gridSpan w:val="2"/>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公开事项</w:t>
            </w:r>
          </w:p>
        </w:tc>
        <w:tc>
          <w:tcPr>
            <w:tcW w:w="1937" w:type="dxa"/>
            <w:vMerge w:val="restart"/>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公开内容（要素）</w:t>
            </w:r>
          </w:p>
        </w:tc>
        <w:tc>
          <w:tcPr>
            <w:tcW w:w="1276" w:type="dxa"/>
            <w:vMerge w:val="restart"/>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公开主体</w:t>
            </w:r>
          </w:p>
        </w:tc>
        <w:tc>
          <w:tcPr>
            <w:tcW w:w="2191" w:type="dxa"/>
            <w:vMerge w:val="restart"/>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公开依据</w:t>
            </w:r>
          </w:p>
        </w:tc>
        <w:tc>
          <w:tcPr>
            <w:tcW w:w="1663" w:type="dxa"/>
            <w:vMerge w:val="restart"/>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公开时限</w:t>
            </w:r>
          </w:p>
        </w:tc>
        <w:tc>
          <w:tcPr>
            <w:tcW w:w="1888" w:type="dxa"/>
            <w:vMerge w:val="restart"/>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公开渠道和载体</w:t>
            </w:r>
          </w:p>
        </w:tc>
        <w:tc>
          <w:tcPr>
            <w:tcW w:w="1603" w:type="dxa"/>
            <w:gridSpan w:val="2"/>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公开对象</w:t>
            </w:r>
          </w:p>
        </w:tc>
        <w:tc>
          <w:tcPr>
            <w:tcW w:w="1364" w:type="dxa"/>
            <w:gridSpan w:val="2"/>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公开方式</w:t>
            </w:r>
          </w:p>
        </w:tc>
        <w:tc>
          <w:tcPr>
            <w:tcW w:w="1305" w:type="dxa"/>
            <w:gridSpan w:val="2"/>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公开层级</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blHeader/>
          <w:jc w:val="center"/>
        </w:trPr>
        <w:tc>
          <w:tcPr>
            <w:tcW w:w="6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一级事项</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二级事项</w:t>
            </w:r>
          </w:p>
        </w:tc>
        <w:tc>
          <w:tcPr>
            <w:tcW w:w="1937" w:type="dxa"/>
            <w:vMerge w:val="continue"/>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jc w:val="left"/>
              <w:rPr>
                <w:rFonts w:ascii="宋体" w:hAnsi="宋体" w:eastAsia="宋体" w:cs="宋体"/>
                <w:kern w:val="0"/>
                <w:sz w:val="24"/>
                <w:szCs w:val="24"/>
              </w:rPr>
            </w:pPr>
          </w:p>
        </w:tc>
        <w:tc>
          <w:tcPr>
            <w:tcW w:w="1276" w:type="dxa"/>
            <w:vMerge w:val="continue"/>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jc w:val="left"/>
              <w:rPr>
                <w:rFonts w:ascii="宋体" w:hAnsi="宋体" w:eastAsia="宋体" w:cs="宋体"/>
                <w:kern w:val="0"/>
                <w:sz w:val="24"/>
                <w:szCs w:val="24"/>
              </w:rPr>
            </w:pPr>
          </w:p>
        </w:tc>
        <w:tc>
          <w:tcPr>
            <w:tcW w:w="2191" w:type="dxa"/>
            <w:vMerge w:val="continue"/>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jc w:val="left"/>
              <w:rPr>
                <w:rFonts w:ascii="宋体" w:hAnsi="宋体" w:eastAsia="宋体" w:cs="宋体"/>
                <w:kern w:val="0"/>
                <w:sz w:val="24"/>
                <w:szCs w:val="24"/>
              </w:rPr>
            </w:pP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全社会</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特定群众</w:t>
            </w: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主动</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依申请公开</w:t>
            </w: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县级</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rPr>
              <w:t>镇、村级</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1</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工程建设项目招标投标信息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审批核准信息</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招标内容、招标范围、招标组织形式、招标方式、招标估算金额、招标事项审核或核准部门。</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负责管理的部门分别公开</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《招标投标法实施条例》（国令第613号）、《政府信息公开条例》、《国务院办公厅关于推进公共资源配置领域政府信息公开的意见》（国办发〔2017〕97号）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信息形成之日起20个工作日内</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2</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工程建设项目招标投标信息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资格预审公告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招标人或者其委托的招标代理机构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《招标投标法》、《招标投标法实施条例》（国令第613号）、《国务院办公厅关于推进公共资源配置领域政府信息公开的意见》（国办发〔2017〕97号）、《招标公告和公示信息发布管理办法》（</w:t>
            </w:r>
            <w:r>
              <w:rPr>
                <w:rFonts w:hint="eastAsia" w:ascii="宋体" w:hAnsi="宋体" w:eastAsia="宋体" w:cs="宋体"/>
                <w:color w:val="000000"/>
                <w:kern w:val="0"/>
                <w:szCs w:val="21"/>
                <w:lang w:eastAsia="zh-CN"/>
              </w:rPr>
              <w:t>国家发改委10号令</w:t>
            </w:r>
            <w:r>
              <w:rPr>
                <w:rFonts w:hint="eastAsia" w:ascii="宋体" w:hAnsi="宋体" w:eastAsia="宋体" w:cs="宋体"/>
                <w:color w:val="000000"/>
                <w:kern w:val="0"/>
                <w:szCs w:val="21"/>
              </w:rPr>
              <w:t>）</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■招标投标公共服务平台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3</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工程建设项目招标投标信息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招标公告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招标人或者其委托的招标代理机构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《招标投标法》、《招标投标法实施条例》、《国务院办公厅关于推进公共资源配置领域政府信息公开的意见》、《招标公告和公示信息发布管理办法》、《电子招标投标办法》</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■招标投标公共服务平台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4</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工程建设项目招标投标信息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中标候选人公示</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招标人或者其委托的招标代理机构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《招标投标法》、《招标投标法实施条例》、《国务院办公厅关于推进公共资源配置领域政府信息公开的意见》、《招标公告和公示信息发布管理办法》、《电子招标投标办法》</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依法必须进行招标的项目，招标人应当自收到评标报告之日起3日内公示中标候选人，公示期不得少于3日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■招标投标公共服务平台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5</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工程建设项目招标投标信息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中标结果</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招标项目名称、中标人名称、中标价、工期、项目负责人、中标内容。</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招标人或者其委托的招标代理机构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《国务院办公厅关于推进公共资源配置领域政府信息公开的意见》（国办发〔2017〕97号）、《招标公告和公示信息发布管理办法》（</w:t>
            </w:r>
            <w:r>
              <w:rPr>
                <w:rFonts w:hint="eastAsia" w:ascii="宋体" w:hAnsi="宋体" w:eastAsia="宋体" w:cs="宋体"/>
                <w:color w:val="000000"/>
                <w:kern w:val="0"/>
                <w:szCs w:val="21"/>
                <w:lang w:eastAsia="zh-CN"/>
              </w:rPr>
              <w:t>国家发改委10号令</w:t>
            </w:r>
            <w:r>
              <w:rPr>
                <w:rFonts w:hint="eastAsia" w:ascii="宋体" w:hAnsi="宋体" w:eastAsia="宋体" w:cs="宋体"/>
                <w:color w:val="000000"/>
                <w:kern w:val="0"/>
                <w:szCs w:val="21"/>
              </w:rPr>
              <w:t>）、《电子招标投标办法》（国家发改委2013年20号令）</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■招标投标公共服务平台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20" w:hRule="atLeast"/>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6</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工程建设项目招标投标信息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合同订立信息</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包括项目名称、合同双方名称、合同价款、签约时间、合同期限。</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合同当事人</w:t>
            </w:r>
          </w:p>
        </w:tc>
        <w:tc>
          <w:tcPr>
            <w:tcW w:w="2191" w:type="dxa"/>
            <w:vMerge w:val="restart"/>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《国务院办公厅关于推进公共资源配置领域政府信息公开的意见》（国办发〔2017〕97号）、《电子招标投标办法》（国家发改委2013年20号令）</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■招标投标公共服务平台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735" w:hRule="atLeast"/>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7</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工程建设项目招标投标信息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合同履行及变更信息</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项目名称、标段名称、建设单位、承包人、项目完成质量、期限、结算金额、合同发生的变更、解除合同通知书、违约行为的处理结果。</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合同当事人</w:t>
            </w:r>
          </w:p>
        </w:tc>
        <w:tc>
          <w:tcPr>
            <w:tcW w:w="2191" w:type="dxa"/>
            <w:vMerge w:val="continue"/>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jc w:val="left"/>
              <w:rPr>
                <w:rFonts w:ascii="宋体" w:hAnsi="宋体" w:eastAsia="宋体" w:cs="宋体"/>
                <w:kern w:val="0"/>
                <w:sz w:val="24"/>
                <w:szCs w:val="24"/>
              </w:rPr>
            </w:pP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鼓励及时公开</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■招标投标公共服务平台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8</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工程建设项目招标投标信息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资格预审文件、招标文件澄清或修改</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项目名称；标段名称；澄清或修改事项；招标人及其招标代理机构的名称、地址、联系人及联系方式。</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招标人或者其委托的招标代理机构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《招标投标法》、《招标投标法实施条例》（国令第613号）、《电子招标投标办法》（国家发改委2013年20号令）</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依法必须进行招标的项目，澄清或者修改的内容可能影响资格预审申请文件或者投标文件编制的，应当在提交资格预审申请文件截止时间至少3日前，或者投标截止时间至少15日前</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■招标投标公共服务平台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245" w:hRule="atLeast"/>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9</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工程建设项目招标投标信息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招标公告和公示信息澄清、修改</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项目名称；标段名称；澄清或修改事项；招标人及其招标代理机构的名称、地址、联系人及联系方式。</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招标人或者其委托的招标代理机构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《招标公告和公示信息发布管理办法》（</w:t>
            </w:r>
            <w:r>
              <w:rPr>
                <w:rFonts w:hint="eastAsia" w:ascii="宋体" w:hAnsi="宋体" w:eastAsia="宋体" w:cs="宋体"/>
                <w:color w:val="000000"/>
                <w:kern w:val="0"/>
                <w:szCs w:val="21"/>
                <w:lang w:eastAsia="zh-CN"/>
              </w:rPr>
              <w:t>国家发改委10号令</w:t>
            </w:r>
            <w:r>
              <w:rPr>
                <w:rFonts w:hint="eastAsia" w:ascii="宋体" w:hAnsi="宋体" w:eastAsia="宋体" w:cs="宋体"/>
                <w:color w:val="000000"/>
                <w:kern w:val="0"/>
                <w:szCs w:val="21"/>
              </w:rPr>
              <w:t>）</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■招标投标公共服务平台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900" w:hRule="atLeast"/>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10</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工程建设项目招标投标信息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暂停、终止招标</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招标人名称、招标项目名称、招标项目编号、本项目首次公告日期、招标暂停或终止原因、联系方式、其他事项。</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招标人或者其委托的招标代理机构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《招标公告和公示信息发布管理办法》（</w:t>
            </w:r>
            <w:r>
              <w:rPr>
                <w:rFonts w:hint="eastAsia" w:ascii="宋体" w:hAnsi="宋体" w:eastAsia="宋体" w:cs="宋体"/>
                <w:color w:val="000000"/>
                <w:kern w:val="0"/>
                <w:szCs w:val="21"/>
                <w:lang w:eastAsia="zh-CN"/>
              </w:rPr>
              <w:t>国家发改委10号令</w:t>
            </w:r>
            <w:r>
              <w:rPr>
                <w:rFonts w:hint="eastAsia" w:ascii="宋体" w:hAnsi="宋体" w:eastAsia="宋体" w:cs="宋体"/>
                <w:color w:val="000000"/>
                <w:kern w:val="0"/>
                <w:szCs w:val="21"/>
              </w:rPr>
              <w:t>）</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■招标投标公共服务平台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11</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工程建设项目招标投标信息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市场主体信用信息</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负责管理的部门分别公开</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《行政处罚法》、《政府信息公开条例》、《国务院办公厅关于推进公共资源配置领域政府信息公开的意见》（国办发〔2017〕97号）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信息形成之日起20个工作日内</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■公共资源交易平台</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■信用中国</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12</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招标公告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采购人或者其委托的采购代理机构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及时公开，公告期限为5个工作日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13</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资格预审公告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采购人或者其委托的采购代理机构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及时公开，公告期限为5个工作日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2925" w:hRule="atLeast"/>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14</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竞争性谈判公告、竞争性磋商公告和询价公告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采购人或者其委托的采购代理机构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《国务院办公厅关于推进公共资源配置领域政府信息公开的意见》（国办发〔2017〕97号）、《财政部关于做好政府采购信息公开工作的通知》（财库〔2015〕135号）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及时公开，公告期限为3个工作日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15</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采购项目预算金额</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采购人或者其委托的采购代理机构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《国务院办公厅关于推进公共资源配置领域政府信息公开的意见》（国办发〔2017〕97号）、《财政部关于做好政府采购信息公开工作的通知》（财库〔2015〕135号）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随采购公告、采购文件公开</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p>
            <w:pPr>
              <w:widowControl/>
              <w:wordWrap w:val="0"/>
              <w:spacing w:line="210" w:lineRule="atLeast"/>
              <w:jc w:val="left"/>
              <w:rPr>
                <w:rFonts w:ascii="宋体" w:hAnsi="宋体" w:eastAsia="宋体" w:cs="宋体"/>
                <w:kern w:val="0"/>
                <w:sz w:val="24"/>
                <w:szCs w:val="24"/>
              </w:rPr>
            </w:pPr>
            <w:r>
              <w:rPr>
                <w:rFonts w:hint="eastAsia" w:ascii="MS Mincho" w:hAnsi="MS Mincho" w:eastAsia="MS Mincho" w:cs="MS Mincho"/>
                <w:kern w:val="0"/>
                <w:szCs w:val="21"/>
              </w:rPr>
              <w:t> </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16</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采购文件</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招标文件、竞争性谈判文件、竞争性磋商文件和询价通知书。</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采购人或者其委托的采购代理机构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《国务院办公厅关于推进公共资源配置领域政府信息公开的意见》（国办发〔2017〕97号）、《财政部关于做好政府采购信息公开工作的通知》（财库〔2015〕135号）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随中标、成交结果同时公告。中标、成交结果公告前采购文件已公告的，不再重复公告</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2325" w:hRule="atLeast"/>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17</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采购信息更正公告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采购人和采购代理机构名称、地址、联系方式；原公告的采购项目名称及首次公告日期；更正事项、内容及日期；采购项目联系人和电话。</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采购人或者其委托的采购代理机构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《国务院办公厅关于推进公共资源配置领域政府信息公开的意见》（国办发〔2017〕97号）、《财政部关于做好政府采购信息公开工作的通知》（财库〔2015〕135号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投标截止时间至少15日前、提交资格预审申请文件截止时间至少3日前，或者提交首次响应文件截止之日3个工作日前</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2790" w:hRule="atLeast"/>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18</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单一来源公示</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采购人或者其委托的采购代理机构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《国务院办公厅关于推进公共资源配置领域政府信息公开的意见》、《财政部关于做好政府采购信息公开工作的通知》</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及时公开，公示期限不得少于5个工作日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710" w:hRule="atLeast"/>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19</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协议供货和定点采购的具体成交记录</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采购人和成交供应商的名称、成交金额以及成交标的的名称、规格型号、数量、单价等。电子卖场、电子商城、网上超市等的具体成交记录，也应当予以公开。</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集中采购机构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《关于进一步做好政府采购信息公开工作有关事项的通知》</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■中国政府采购网及其省级分网</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21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20</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中标、成交结果</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采购人或者其委托的采购代理机构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《国务院办公厅关于推进公共资源配置领域政府信息公开的意见》（国办发〔2017〕97号）、《财政部关于做好政府采购信息公开工作的通知》（财库〔2015〕135号）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自中标、成交供应商确定之日起2个工作日内公告，公告期限为1个工作日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21</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采购合同</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采购人或者其委托的采购代理机构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《国务院办公厅关于推进公共资源配置领域政府信息公开的意见》（国办发〔2017〕97号）、《财政部关于做好政府采购信息公开工作的通知》（财库〔2015〕135号）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合同签订之日起2个工作日内</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■省级（含计划单列市）财政部门指定的媒体</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21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22</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终止公告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采购人和采购代理机构名称、地址、联系方式；采购项目名称、采购编号，采购方式；采购项目终止原因；公告期限；采购项目联系人和电话。</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采购人或者其委托的采购代理机构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《国务院办公厅关于推进公共资源配置领域政府信息公开的意见》（国办发〔2017〕97号）、《财政部关于做好政府采购信息公开工作的通知》（财库〔2015〕135号）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■省级（含计划单列市）财政部门指定的媒体</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23</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公共服务项目采购需求</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采购对象需实现的功能或者目标，满足项目需要的所有技术、服务、安全等要求，采购对象的数量、交付或实施的时间和地点，采购对象的验收标准等。</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采购人</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《财政部关于做好政府采购信息公开工作的通知》（财库〔2015〕135号）、《关于进一步加强政府采购需求和履约验收管理的指导意见》（财库〔2016〕205号）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24</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公共服务项目验收结果</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采购人和采购代理机构名称、地址、联系方式；采购项目名称、编号，合同编号；履约供应商名称；验收单位；验收结果；验收人员。</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采购人</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《财政部关于做好政府采购信息公开工作的通知》（财库〔2015〕135号）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验收结束之日起2个工作日内</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■公共资源交易平台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2730" w:hRule="atLeast"/>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25</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投诉、监督检查等处理决定公告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相关当事人名称及地址、投诉涉及采购项目名称及采购日期、投诉事项或监督检查主要事项、处理依据、处理结果、执法机关名称、公告日期等。</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财政局</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《国务院办公厅关于推进公共资源配置领域政府信息公开的意见》（国办发〔2017〕97号）、《财政部关于做好政府采购信息公开工作的通知》（财库〔2015〕135号）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完成并履行有关报审程序后5个工作日内</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■公共资源交易平台</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■信用中国</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26</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政府采购信息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集中采购机构的考核结果公告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集中采购机构名称、考核内容、考核方法、考核结果、存在问题、考核单位等。</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财政局</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《国务院办公厅关于推进公共资源配置领域政府信息公开的意见》（国办发〔2017〕97号）、《财政部关于做好政府采购信息公开工作的通知》（财库〔2015〕135号）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完成并履行有关报审程序后5个工作日内</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■中国政府采购网及其地方分网</w:t>
            </w:r>
          </w:p>
          <w:p>
            <w:pPr>
              <w:widowControl/>
              <w:wordWrap w:val="0"/>
              <w:spacing w:line="210" w:lineRule="atLeast"/>
              <w:jc w:val="left"/>
              <w:rPr>
                <w:rFonts w:ascii="宋体" w:hAnsi="宋体" w:eastAsia="宋体" w:cs="宋体"/>
                <w:kern w:val="0"/>
                <w:sz w:val="24"/>
                <w:szCs w:val="24"/>
              </w:rPr>
            </w:pPr>
            <w:r>
              <w:rPr>
                <w:rFonts w:hint="eastAsia" w:ascii="宋体" w:hAnsi="宋体" w:eastAsia="宋体" w:cs="宋体"/>
                <w:color w:val="000000"/>
                <w:kern w:val="0"/>
                <w:szCs w:val="21"/>
              </w:rPr>
              <w:t>■信用中国</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27</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国有土地使用权出让信息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土地出让计划</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明确国有建设用地供应指导思想和原则；提出国有建设用地供应政策导向；确定国有建设用地供应总量、结构、布局、时序和方式；落实计划供应的宗地；实施计划的保障措施。</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县级人民政府自然资源行政主管部门（简称出让人）</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招标拍卖挂牌出让国有建设用地使用权规定》（国土资源部令第39号）、《国有建设用地供应计划编制规范》（试行）（国土资发[2010]117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每年3月31日前，公布年度国有建设用地供应计划</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■地方电视图文台</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■各级自然资源管理部门网站</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28</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国有土地使用权出让信息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招标拍卖挂牌出让公告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出让人</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《国务院办公厅关于推进公共资源配置领域政府信息公开的意见》（国办发〔2017〕97号）、《招标拍卖挂牌出让国有建设用地使用权规定》（国土资源部令第39号）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至少在投标、拍卖或者挂牌开始日前20日。挂牌时间不得少于10日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■土地有形市场或者指定的场所、媒介（一般指中国土地市场网、当地政府媒介）</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■地方电视图文台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29</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国有土地使用权出让信息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公告调整</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公开国有建设用地使用权出让公告、项目概况、澄清或者修改事项、联系方式。</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自然资源局、各镇</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《招标拍卖挂牌出让国有土地使用权规范》（国土资发［2006］114号）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按原公告发布渠道及时发布补充公告，涉及土地使用条件变更等影响土地价格的重大变动，补充公告发布时间距招拍挂活动开始时间少于20日的，招拍挂活动相应顺延</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■中国土地市场网或者土地有形市场等指定场所</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■地方电视图文台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30</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国有土地使用权出让信息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招标拍卖挂牌出让结果（成交公示）</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土地位置、面积、用途、开发程度、土地级别、容积率、出让年限、供地方式、受让人、成交价格和成交时间等。</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出让人</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《国务院办公厅关于推进公共资源配置领域政府信息公开的意见》、《招标拍卖挂牌出让国有建设用地使用权规定》、《招标拍卖挂牌出让国有土地使用权规范》</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招标拍卖挂牌活动结束后的10个工作日内</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■土地有形市场或者指定的场所、媒介（一般指中国土地市场网、当地政府媒介）</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■地方电视图文台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31</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国有土地使用权出让信息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供应结果</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国有建设用地使用权年度供应结果。</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自然资源局、各镇</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■上级自然资源管理部门网站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■地方电视图文台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32</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矿业权出让信息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招标拍卖挂牌出让公告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自然资源局</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《国务院办公厅关于推进公共资源配置领域政府信息公开的意见》（国办发〔2017〕97号）、国土资源部关于印发《矿业权交易规则》的通知（ 国土资规〔2017〕7号）、《自然资源部关于调整&lt;矿业权交易规则&gt;有关规定的通知》(国土资规〔2017〕7号)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在投标截止日、公开拍卖日或者挂牌起始日20个工作日前发布。挂牌时间不得少于10个工作日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■地方电视图文台</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■上级自然资源部门户网站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■矿业权交易平台交易大厅</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33</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矿业权出让信息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招标拍卖挂牌成交结果公示</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自然资源局</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《国务院办公厅关于推进公共资源配置领域政府信息公开的意见》（国办发〔2017〕97号）、国土资源部关于印发《矿业权交易规则》的通知（ 国土资规〔2017〕7号）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发出中标通知书或者签订成交确认书后5个工作日内进行信息公示。公示期不少于10个工作日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■地方电视图文台</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■上级自然资源部门户网站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■矿业权交易平台交易大厅</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34</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矿业权出让信息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审批结果信息</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每个项目的审批结果信息（交易完成后由各级自然资源管理部门审批）。</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自然资源局</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《政府信息公开条例》、《国务院办公厅关于推进公共资源配置领域政府信息公开的意见》（国办发〔2017〕97号）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信息形成之日起20个工作日内</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■上级自然资源管理部门网站</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35</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矿业权出让信息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项目信息</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公告有效期内矿业权基本信息包括矿业权名称、许可证号、矿业权人、矿种、有效期限。</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自然资源局</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《政府信息公开条例》、《国务院办公厅关于推进公共资源配置领域政府信息公开的意见》（国办发〔2017〕97号）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每年一季度集中公告</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■上级自然资源管理部门网站</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36</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国有产权交易信息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国有企业产权转让信息预披露</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转让方</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《国务院办公厅关于推进公共资源配置领域政府信息公开的意见》（国办发〔2017〕97号）、《企业国有资产交易监督管理办法》(国资委、财政部令 第32号)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及时公开，正式披露信息时间不得少于20个工作日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■产权交易机构网站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■地方电视图文台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37</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国有产权交易信息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国有企业产权转让信息披露</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转让方</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《国务院办公厅关于推进公共资源配置领域政府信息公开的意见》（国办发〔2017〕97号）、《企业国有资产交易监督管理办法》(国资委、财政部令 第32号)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及时公开，正式披露信息时间不得少于20个工作日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■产权交易机构网站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■地方电视图文台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38</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国有产权交易信息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国有企业产权转让成交公告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交易标的名称、转让标的评估结果、转让底价、交易价格。</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产权交易机构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《国务院办公厅关于推进公共资源配置领域政府信息公开的意见》、《企业国有资产交易监督管理办法》</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及时公开，公告期不少于5个工作日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■产权交易机构网站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■地方电视图文台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39</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国有产权交易信息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国有企业资产转让信息披露</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标的基本情况、交易条件、转让底价、竞价方式、受让方选择的相关评判标准等。</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转让方</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《国务院办公厅关于推进公共资源配置领域政府信息公开的意见》（国办发〔2017〕97号）、《企业国有资产交易监督管理办法》(国资委、财政部令 第32号)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转让底价高于100万元、低于1000万元的资产转让项目，信息公告期应不少于10个工作日；转让底价高于1000万元的资产转让项目，信息公告期应不少于20个工作日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■产权交易机构网站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■地方电视图文台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64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40</w:t>
            </w:r>
          </w:p>
        </w:tc>
        <w:tc>
          <w:tcPr>
            <w:tcW w:w="70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国有产权交易信息</w:t>
            </w:r>
          </w:p>
        </w:tc>
        <w:tc>
          <w:tcPr>
            <w:tcW w:w="75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国有企业资产转让成交公告</w:t>
            </w:r>
          </w:p>
        </w:tc>
        <w:tc>
          <w:tcPr>
            <w:tcW w:w="1937"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交易标的名称、评估价格、转让底价、交易价格等。</w:t>
            </w:r>
          </w:p>
        </w:tc>
        <w:tc>
          <w:tcPr>
            <w:tcW w:w="1276"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产权交易机构</w:t>
            </w:r>
          </w:p>
        </w:tc>
        <w:tc>
          <w:tcPr>
            <w:tcW w:w="2191"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《国务院办公厅关于推进公共资源配置领域政府信息公开的意见》（国办发〔2017〕97号）、《企业国有资产交易监督管理办法》(国资委、财政部令 第32号)</w:t>
            </w:r>
          </w:p>
        </w:tc>
        <w:tc>
          <w:tcPr>
            <w:tcW w:w="1663"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不少于5个工作日</w:t>
            </w:r>
          </w:p>
        </w:tc>
        <w:tc>
          <w:tcPr>
            <w:tcW w:w="1888"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■政府网站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■产权交易机构网站</w:t>
            </w:r>
          </w:p>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color w:val="000000"/>
                <w:kern w:val="0"/>
                <w:szCs w:val="21"/>
              </w:rPr>
              <w:t>■地方电视图文台</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48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884"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c>
          <w:tcPr>
            <w:tcW w:w="750" w:type="dxa"/>
            <w:tcBorders>
              <w:top w:val="single" w:color="auto" w:sz="6" w:space="0"/>
              <w:left w:val="single" w:color="auto" w:sz="6" w:space="0"/>
              <w:bottom w:val="single" w:color="auto" w:sz="6" w:space="0"/>
              <w:right w:val="single" w:color="auto" w:sz="6" w:space="0"/>
            </w:tcBorders>
            <w:tcMar>
              <w:top w:w="0" w:type="dxa"/>
              <w:left w:w="90" w:type="dxa"/>
              <w:bottom w:w="0" w:type="dxa"/>
              <w:right w:w="9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color w:val="000000"/>
                <w:kern w:val="0"/>
                <w:szCs w:val="21"/>
              </w:rPr>
              <w:t>√</w:t>
            </w:r>
          </w:p>
        </w:tc>
      </w:tr>
    </w:tbl>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MS Mincho">
    <w:altName w:val="宋体"/>
    <w:panose1 w:val="02020609040205080304"/>
    <w:charset w:val="80"/>
    <w:family w:val="modern"/>
    <w:pitch w:val="default"/>
    <w:sig w:usb0="00000000" w:usb1="00000000" w:usb2="00000012" w:usb3="00000000" w:csb0="0002009F"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3233612"/>
      <w:docPartObj>
        <w:docPartGallery w:val="AutoText"/>
      </w:docPartObj>
    </w:sdtPr>
    <w:sdtEndPr>
      <w:rPr>
        <w:sz w:val="21"/>
        <w:szCs w:val="21"/>
      </w:rPr>
    </w:sdtEndPr>
    <w:sdtContent>
      <w:p>
        <w:pPr>
          <w:pStyle w:val="3"/>
          <w:jc w:val="right"/>
          <w:rPr>
            <w:sz w:val="21"/>
            <w:szCs w:val="21"/>
          </w:rPr>
        </w:pPr>
        <w:r>
          <w:rPr>
            <w:rFonts w:hint="eastAsia"/>
            <w:sz w:val="21"/>
            <w:szCs w:val="21"/>
          </w:rPr>
          <w:t>－　</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r>
          <w:rPr>
            <w:rFonts w:hint="eastAsia"/>
            <w:sz w:val="21"/>
            <w:szCs w:val="21"/>
          </w:rPr>
          <w:t>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3233613"/>
      <w:docPartObj>
        <w:docPartGallery w:val="AutoText"/>
      </w:docPartObj>
    </w:sdtPr>
    <w:sdtEndPr>
      <w:rPr>
        <w:sz w:val="21"/>
        <w:szCs w:val="21"/>
      </w:rPr>
    </w:sdtEndPr>
    <w:sdtContent>
      <w:p>
        <w:pPr>
          <w:pStyle w:val="3"/>
          <w:rPr>
            <w:sz w:val="21"/>
            <w:szCs w:val="21"/>
          </w:rPr>
        </w:pPr>
        <w:r>
          <w:rPr>
            <w:rFonts w:hint="eastAsia"/>
            <w:sz w:val="21"/>
            <w:szCs w:val="21"/>
          </w:rPr>
          <w:t>－　</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6</w:t>
        </w:r>
        <w:r>
          <w:rPr>
            <w:sz w:val="21"/>
            <w:szCs w:val="21"/>
          </w:rPr>
          <w:fldChar w:fldCharType="end"/>
        </w:r>
        <w:r>
          <w:rPr>
            <w:rFonts w:hint="eastAsia"/>
            <w:sz w:val="21"/>
            <w:szCs w:val="21"/>
          </w:rPr>
          <w:t>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4B2B"/>
    <w:rsid w:val="0067054A"/>
    <w:rsid w:val="008B2B16"/>
    <w:rsid w:val="00BE4B2B"/>
    <w:rsid w:val="52DA8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岑溪市政务服务监督管理办公室</Company>
  <Pages>29</Pages>
  <Words>1533</Words>
  <Characters>8741</Characters>
  <Lines>72</Lines>
  <Paragraphs>20</Paragraphs>
  <TotalTime>5</TotalTime>
  <ScaleCrop>false</ScaleCrop>
  <LinksUpToDate>false</LinksUpToDate>
  <CharactersWithSpaces>10254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2020-11-30T11:28:00Z</dcterms:created>
  <dc:creator>李传景</dc:creator>
  <cp:lastModifiedBy>gxxc</cp:lastModifiedBy>
  <dcterms:modified xsi:type="dcterms:W3CDTF">2023-01-03T10:11:59Z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