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85"/>
        <w:gridCol w:w="683"/>
        <w:gridCol w:w="1508"/>
        <w:gridCol w:w="1855"/>
        <w:gridCol w:w="754"/>
        <w:gridCol w:w="642"/>
        <w:gridCol w:w="939"/>
        <w:gridCol w:w="1020"/>
        <w:gridCol w:w="960"/>
        <w:gridCol w:w="1110"/>
        <w:gridCol w:w="94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51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广西区直单位职工申购广西交通高级技工学校南宁市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" w:eastAsia="zh-CN" w:bidi="ar"/>
              </w:rPr>
              <w:t>邕武路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9号小区危旧房改住房改造项目剩余非还建住房汇总表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51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．申请人为本单位职工，不包括劳务派遣人员。2．无配偶必须在配偶栏选填“未婚/离异/丧偶”。3．“职务/职级/职称”栏填夫妻双方最高一项。4．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．“申请户类别”选填“无房户/未达标户”。申请人与其配偶同为一户，申请户类别必须相同。7. 请填表时务必真实、全面、完整。弄虚作假的，一经发现，取消报名资格。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30E84B60"/>
    <w:rsid w:val="5DBE1B35"/>
    <w:rsid w:val="EC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2023-05-19T16:59:00Z</dcterms:created>
  <dc:creator>gxxc</dc:creator>
  <cp:lastModifiedBy>陈楠</cp:lastModifiedBy>
  <dcterms:modified xsi:type="dcterms:W3CDTF">2023-11-01T16:09:05Z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